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cs="Times New Roman"/>
          <w:kern w:val="2"/>
          <w:sz w:val="44"/>
          <w:szCs w:val="44"/>
          <w:lang w:val="en-US" w:eastAsia="zh-CN" w:bidi="ar-SA"/>
        </w:rPr>
      </w:pPr>
      <w:r>
        <w:rPr>
          <w:rFonts w:hint="eastAsia" w:ascii="方正小标宋_GBK" w:hAnsi="方正小标宋_GBK" w:eastAsia="方正小标宋_GBK"/>
          <w:sz w:val="44"/>
          <w:szCs w:val="44"/>
        </w:rPr>
        <w:t>国外技术性贸易措施研究项目配套资助</w:t>
      </w:r>
      <w:r>
        <w:rPr>
          <w:rFonts w:hint="eastAsia" w:ascii="方正小标宋_GBK" w:hAnsi="方正小标宋_GBK" w:eastAsia="方正小标宋_GBK" w:cs="Times New Roman"/>
          <w:kern w:val="2"/>
          <w:sz w:val="44"/>
          <w:szCs w:val="44"/>
          <w:lang w:val="en-US" w:eastAsia="zh-CN" w:bidi="ar-SA"/>
        </w:rPr>
        <w:t>项目</w:t>
      </w:r>
    </w:p>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申报指南</w:t>
      </w:r>
    </w:p>
    <w:p>
      <w:pPr>
        <w:widowControl/>
        <w:numPr>
          <w:ilvl w:val="0"/>
          <w:numId w:val="1"/>
        </w:numPr>
        <w:spacing w:line="560" w:lineRule="exact"/>
        <w:ind w:firstLine="640" w:firstLineChars="200"/>
        <w:jc w:val="left"/>
        <w:outlineLvl w:val="0"/>
        <w:rPr>
          <w:rFonts w:hint="eastAsia" w:ascii="仿宋_GB2312" w:hAnsi="宋体" w:eastAsia="黑体"/>
          <w:bCs/>
          <w:kern w:val="44"/>
          <w:sz w:val="32"/>
          <w:szCs w:val="44"/>
          <w:lang w:val="en-US" w:eastAsia="zh-CN"/>
        </w:rPr>
      </w:pPr>
      <w:r>
        <w:rPr>
          <w:rFonts w:hint="eastAsia" w:ascii="仿宋_GB2312" w:hAnsi="宋体" w:eastAsia="黑体"/>
          <w:bCs/>
          <w:kern w:val="44"/>
          <w:sz w:val="32"/>
          <w:szCs w:val="44"/>
          <w:lang w:val="en-US" w:eastAsia="zh-CN"/>
        </w:rPr>
        <w:t>政策依据</w:t>
      </w:r>
    </w:p>
    <w:p>
      <w:pPr>
        <w:pStyle w:val="2"/>
        <w:numPr>
          <w:ilvl w:val="0"/>
          <w:numId w:val="0"/>
        </w:numPr>
        <w:ind w:firstLine="640" w:firstLineChars="20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深圳市光明区人民政府关于印发《光明区经济发展专项资金管理办法》的通知（深光府规〔2023〕15号）</w:t>
      </w:r>
    </w:p>
    <w:p>
      <w:pPr>
        <w:widowControl/>
        <w:spacing w:line="560" w:lineRule="exact"/>
        <w:ind w:firstLine="640" w:firstLineChars="200"/>
        <w:jc w:val="left"/>
        <w:outlineLvl w:val="0"/>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lang w:val="en-US" w:eastAsia="zh-CN"/>
        </w:rPr>
        <w:t>二</w:t>
      </w: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rPr>
        <w:t>深圳市光明区人民政府印发《深圳市光明区关于促进质量标准知识产权发展的若干措施》的通知（深光府规〔2023〕13号）</w:t>
      </w:r>
    </w:p>
    <w:p>
      <w:pPr>
        <w:pStyle w:val="2"/>
        <w:ind w:firstLine="64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val="en-US" w:eastAsia="zh-CN"/>
        </w:rPr>
        <w:t>（三）深圳市市场监督管理局光明监管局关于印发《深圳市光明区关于促进质量标准知识产权发展的若干措施操作规程》的通知（深市监光规〔2023〕1 号）</w:t>
      </w:r>
    </w:p>
    <w:p>
      <w:pPr>
        <w:pStyle w:val="2"/>
        <w:ind w:firstLine="320" w:firstLineChars="100"/>
        <w:rPr>
          <w:rFonts w:hint="eastAsia" w:ascii="仿宋_GB2312" w:hAnsi="宋体" w:eastAsia="黑体"/>
          <w:bCs/>
          <w:kern w:val="44"/>
          <w:sz w:val="32"/>
          <w:szCs w:val="44"/>
          <w:lang w:val="en-US" w:eastAsia="zh-CN"/>
        </w:rPr>
      </w:pPr>
      <w:r>
        <w:rPr>
          <w:rFonts w:hint="eastAsia" w:ascii="仿宋_GB2312" w:hAnsi="宋体" w:eastAsia="黑体"/>
          <w:bCs/>
          <w:kern w:val="44"/>
          <w:sz w:val="32"/>
          <w:szCs w:val="44"/>
          <w:lang w:val="en-US" w:eastAsia="zh-CN"/>
        </w:rPr>
        <w:t>二、国外技术性贸易措施研究项目配套资助</w:t>
      </w:r>
      <w:r>
        <w:rPr>
          <w:rFonts w:hint="eastAsia" w:ascii="仿宋_GB2312" w:eastAsia="黑体"/>
          <w:bCs/>
          <w:kern w:val="44"/>
          <w:sz w:val="32"/>
          <w:szCs w:val="44"/>
          <w:lang w:val="en-US" w:eastAsia="zh-CN"/>
        </w:rPr>
        <w:t>项目</w:t>
      </w:r>
      <w:r>
        <w:rPr>
          <w:rFonts w:hint="eastAsia" w:ascii="仿宋_GB2312" w:hAnsi="宋体" w:eastAsia="黑体"/>
          <w:bCs/>
          <w:kern w:val="44"/>
          <w:sz w:val="32"/>
          <w:szCs w:val="44"/>
          <w:lang w:val="en-US" w:eastAsia="zh-CN"/>
        </w:rPr>
        <w:t>支持对象、资助标准、支持方式</w:t>
      </w:r>
    </w:p>
    <w:p>
      <w:pPr>
        <w:widowControl/>
        <w:spacing w:line="560" w:lineRule="exact"/>
        <w:ind w:firstLine="640" w:firstLineChars="200"/>
        <w:jc w:val="left"/>
        <w:outlineLvl w:val="0"/>
        <w:rPr>
          <w:rFonts w:hint="eastAsia" w:ascii="仿宋_GB2312" w:hAnsi="宋体" w:eastAsia="仿宋_GB2312" w:cs="宋体"/>
          <w:kern w:val="2"/>
          <w:sz w:val="32"/>
          <w:szCs w:val="32"/>
          <w:highlight w:val="none"/>
          <w:lang w:val="en-US" w:eastAsia="zh-CN" w:bidi="zh-CN"/>
        </w:rPr>
      </w:pPr>
      <w:r>
        <w:rPr>
          <w:rFonts w:hint="eastAsia" w:ascii="仿宋_GB2312" w:hAnsi="宋体" w:eastAsia="仿宋_GB2312" w:cs="宋体"/>
          <w:kern w:val="2"/>
          <w:sz w:val="32"/>
          <w:szCs w:val="32"/>
          <w:highlight w:val="none"/>
          <w:lang w:val="en-US" w:eastAsia="zh-CN" w:bidi="zh-CN"/>
        </w:rPr>
        <w:t>支持重大标准化活动。鼓励辖区主体积极参与国际国内重大标准化活动,对获得深圳市国外技术性贸易措施研究项目资助的单位,按其获得市级资助金额的50%给予配套资助,单个项目最高15万元。（《若干措施》第二条第三项）</w:t>
      </w:r>
    </w:p>
    <w:p>
      <w:pPr>
        <w:widowControl/>
        <w:spacing w:line="560" w:lineRule="exact"/>
        <w:ind w:firstLine="640" w:firstLineChars="200"/>
        <w:jc w:val="left"/>
        <w:outlineLvl w:val="0"/>
        <w:rPr>
          <w:rFonts w:hint="eastAsia" w:ascii="仿宋_GB2312" w:hAnsi="宋体" w:eastAsia="黑体"/>
          <w:bCs/>
          <w:kern w:val="44"/>
          <w:sz w:val="32"/>
          <w:szCs w:val="44"/>
          <w:lang w:val="en-US" w:eastAsia="zh-CN"/>
        </w:rPr>
      </w:pPr>
      <w:r>
        <w:rPr>
          <w:rFonts w:hint="eastAsia" w:ascii="仿宋_GB2312" w:hAnsi="宋体" w:eastAsia="仿宋_GB2312" w:cs="宋体"/>
          <w:kern w:val="2"/>
          <w:sz w:val="32"/>
          <w:szCs w:val="32"/>
          <w:highlight w:val="none"/>
          <w:lang w:val="en-US" w:eastAsia="zh-CN" w:bidi="zh-CN"/>
        </w:rPr>
        <w:t>支持方式及数量：事后资助，受年度财政预算安排总量控制。</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keepNext w:val="0"/>
        <w:keepLines w:val="0"/>
        <w:pageBreakBefore w:val="0"/>
        <w:widowControl w:val="0"/>
        <w:kinsoku/>
        <w:wordWrap/>
        <w:overflowPunct w:val="0"/>
        <w:topLinePunct w:val="0"/>
        <w:autoSpaceDE w:val="0"/>
        <w:autoSpaceDN w:val="0"/>
        <w:bidi w:val="0"/>
        <w:adjustRightInd/>
        <w:snapToGrid/>
        <w:spacing w:line="560" w:lineRule="exact"/>
        <w:ind w:firstLine="640" w:firstLineChars="200"/>
        <w:textAlignment w:val="auto"/>
        <w:rPr>
          <w:rFonts w:hint="eastAsia" w:ascii="仿宋_GB2312" w:hAnsi="仿宋_GB2312" w:eastAsia="仿宋_GB2312" w:cs="仿宋_GB2312"/>
          <w:snapToGrid w:val="0"/>
          <w:color w:val="000000"/>
          <w:kern w:val="0"/>
          <w:sz w:val="32"/>
          <w:szCs w:val="32"/>
          <w:highlight w:val="none"/>
          <w:shd w:val="clear" w:color="auto" w:fill="FFFFFF"/>
          <w:lang w:eastAsia="zh-CN" w:bidi="ar"/>
        </w:rPr>
      </w:pPr>
      <w:r>
        <w:rPr>
          <w:rFonts w:hint="eastAsia" w:ascii="仿宋_GB2312" w:hAnsi="仿宋_GB2312" w:eastAsia="仿宋_GB2312" w:cs="仿宋_GB2312"/>
          <w:snapToGrid w:val="0"/>
          <w:color w:val="000000"/>
          <w:kern w:val="0"/>
          <w:sz w:val="32"/>
          <w:szCs w:val="32"/>
          <w:highlight w:val="none"/>
          <w:shd w:val="clear" w:color="auto" w:fill="FFFFFF"/>
          <w:lang w:eastAsia="zh-CN" w:bidi="ar"/>
        </w:rPr>
        <w:t>（五）上一年</w:t>
      </w:r>
      <w:r>
        <w:rPr>
          <w:rFonts w:hint="eastAsia" w:ascii="仿宋_GB2312" w:hAnsi="仿宋_GB2312" w:eastAsia="仿宋_GB2312" w:cs="仿宋_GB2312"/>
          <w:snapToGrid w:val="0"/>
          <w:color w:val="000000"/>
          <w:kern w:val="0"/>
          <w:sz w:val="32"/>
          <w:szCs w:val="32"/>
          <w:highlight w:val="none"/>
          <w:shd w:val="clear" w:color="auto" w:fill="FFFFFF"/>
          <w:lang w:bidi="ar"/>
        </w:rPr>
        <w:t>获得深圳市国外技术性贸易措施研究项目资助</w:t>
      </w:r>
      <w:r>
        <w:rPr>
          <w:rFonts w:hint="eastAsia" w:ascii="仿宋_GB2312" w:hAnsi="仿宋_GB2312" w:eastAsia="仿宋_GB2312" w:cs="仿宋_GB2312"/>
          <w:snapToGrid w:val="0"/>
          <w:color w:val="000000"/>
          <w:kern w:val="0"/>
          <w:sz w:val="32"/>
          <w:szCs w:val="32"/>
          <w:highlight w:val="none"/>
          <w:shd w:val="clear" w:color="auto" w:fill="FFFFFF"/>
          <w:lang w:eastAsia="zh-CN" w:bidi="ar"/>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2"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楷体_GB2312" w:eastAsia="仿宋_GB2312" w:cs="楷体_GB2312"/>
          <w:sz w:val="32"/>
          <w:szCs w:val="32"/>
          <w:highlight w:val="none"/>
        </w:rPr>
        <w:t>（一）登录</w:t>
      </w:r>
      <w:r>
        <w:rPr>
          <w:rFonts w:hint="eastAsia" w:ascii="仿宋_GB2312" w:hAnsi="楷体_GB2312" w:eastAsia="仿宋_GB2312" w:cs="楷体_GB2312"/>
          <w:b/>
          <w:bCs/>
          <w:sz w:val="32"/>
          <w:szCs w:val="32"/>
          <w:highlight w:val="none"/>
        </w:rPr>
        <w:t>深圳市财政专项资金统一管理平台</w:t>
      </w:r>
      <w:r>
        <w:rPr>
          <w:rFonts w:hint="eastAsia" w:ascii="仿宋_GB2312" w:hAnsi="楷体_GB2312" w:eastAsia="仿宋_GB2312" w:cs="楷体_GB2312"/>
          <w:sz w:val="32"/>
          <w:szCs w:val="32"/>
          <w:highlight w:val="none"/>
        </w:rPr>
        <w:t>在线填报申请书，网址：https://cqt.szfb.sz.gov.cn/#/home。请企业按照申请指南准备申请材料，需上传扫描件，确保内容清晰。在提交申请后请耐心等待初审通过；若申请未通过初审被退回，请按照相关意见及时修改。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highlight w:val="none"/>
        </w:rPr>
        <w:t>提交通过线上初审后，从该系统导出带水印的申请</w:t>
      </w:r>
      <w:r>
        <w:rPr>
          <w:rFonts w:hint="eastAsia" w:ascii="仿宋_GB2312" w:hAnsi="楷体_GB2312" w:eastAsia="仿宋_GB2312" w:cs="楷体_GB2312"/>
          <w:sz w:val="32"/>
          <w:szCs w:val="32"/>
          <w:highlight w:val="none"/>
        </w:rPr>
        <w:t>表及</w:t>
      </w:r>
      <w:r>
        <w:rPr>
          <w:rFonts w:hint="eastAsia" w:ascii="仿宋_GB2312" w:hAnsi="楷体_GB2312" w:eastAsia="仿宋_GB2312" w:cs="楷体_GB2312"/>
          <w:sz w:val="32"/>
          <w:szCs w:val="32"/>
          <w:highlight w:val="none"/>
          <w:lang w:eastAsia="zh-CN"/>
        </w:rPr>
        <w:t>申请</w:t>
      </w:r>
      <w:r>
        <w:rPr>
          <w:rFonts w:hint="eastAsia" w:ascii="仿宋_GB2312" w:hAnsi="楷体_GB2312" w:eastAsia="仿宋_GB2312" w:cs="楷体_GB2312"/>
          <w:sz w:val="32"/>
          <w:szCs w:val="32"/>
          <w:highlight w:val="none"/>
        </w:rPr>
        <w:t>材料。</w:t>
      </w:r>
      <w:r>
        <w:rPr>
          <w:rFonts w:ascii="仿宋_GB2312" w:hAnsi="楷体_GB2312" w:eastAsia="仿宋_GB2312" w:cs="楷体_GB2312"/>
          <w:sz w:val="32"/>
          <w:szCs w:val="32"/>
          <w:highlight w:val="none"/>
        </w:rPr>
        <w:t xml:space="preserve"> </w:t>
      </w:r>
    </w:p>
    <w:p>
      <w:pPr>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lang w:val="en-US" w:eastAsia="zh-CN"/>
        </w:rPr>
        <w:t>（三）</w:t>
      </w:r>
      <w:r>
        <w:rPr>
          <w:rFonts w:hint="eastAsia" w:ascii="仿宋_GB2312" w:hAnsi="楷体_GB2312" w:eastAsia="仿宋_GB2312" w:cs="楷体_GB2312"/>
          <w:sz w:val="32"/>
          <w:szCs w:val="32"/>
          <w:highlight w:val="none"/>
        </w:rPr>
        <w:t>企业信用报告（通过深圳信用网打</w:t>
      </w:r>
      <w:r>
        <w:rPr>
          <w:rFonts w:hint="eastAsia" w:ascii="仿宋_GB2312" w:hAnsi="楷体_GB2312" w:eastAsia="仿宋_GB2312" w:cs="楷体_GB2312"/>
          <w:sz w:val="32"/>
          <w:szCs w:val="32"/>
        </w:rPr>
        <w:t>印完整版信用报告）。</w:t>
      </w:r>
    </w:p>
    <w:p>
      <w:pPr>
        <w:spacing w:line="560" w:lineRule="exact"/>
        <w:ind w:firstLine="640" w:firstLineChars="200"/>
        <w:rPr>
          <w:rFonts w:hint="eastAsia" w:ascii="仿宋_GB2312" w:hAnsi="楷体_GB2312" w:eastAsia="仿宋_GB2312" w:cs="楷体_GB2312"/>
          <w:sz w:val="32"/>
          <w:szCs w:val="32"/>
          <w:highlight w:val="none"/>
          <w:lang w:eastAsia="zh-CN"/>
        </w:rPr>
      </w:pPr>
      <w:r>
        <w:rPr>
          <w:rFonts w:hint="eastAsia" w:eastAsia="仿宋_GB2312"/>
          <w:sz w:val="32"/>
          <w:szCs w:val="32"/>
          <w:highlight w:val="none"/>
          <w:lang w:val="en-US" w:eastAsia="zh-CN"/>
        </w:rPr>
        <w:t>（四）</w:t>
      </w:r>
      <w:r>
        <w:rPr>
          <w:rFonts w:hint="eastAsia" w:ascii="仿宋_GB2312" w:hAnsi="楷体_GB2312" w:eastAsia="仿宋_GB2312" w:cs="楷体_GB2312"/>
          <w:sz w:val="32"/>
          <w:szCs w:val="32"/>
          <w:highlight w:val="none"/>
        </w:rPr>
        <w:t>法人授权委托书，法定代表人身份证复印件及经办人身份证复印件（法定代表人身份证无须验原件）</w:t>
      </w:r>
      <w:r>
        <w:rPr>
          <w:rFonts w:hint="eastAsia" w:ascii="仿宋_GB2312" w:hAnsi="楷体_GB2312" w:eastAsia="仿宋_GB2312" w:cs="楷体_GB2312"/>
          <w:sz w:val="32"/>
          <w:szCs w:val="32"/>
          <w:highlight w:val="none"/>
          <w:lang w:eastAsia="zh-CN"/>
        </w:rPr>
        <w:t>。</w:t>
      </w:r>
    </w:p>
    <w:p>
      <w:pPr>
        <w:spacing w:line="560" w:lineRule="exact"/>
        <w:ind w:firstLine="640" w:firstLineChars="200"/>
        <w:rPr>
          <w:rFonts w:hint="eastAsia" w:ascii="仿宋_GB2312" w:hAnsi="楷体_GB2312" w:eastAsia="仿宋_GB2312" w:cs="楷体_GB2312"/>
          <w:sz w:val="32"/>
          <w:szCs w:val="32"/>
          <w:highlight w:val="none"/>
          <w:lang w:val="en-US" w:eastAsia="zh-CN"/>
        </w:rPr>
      </w:pPr>
      <w:r>
        <w:rPr>
          <w:rFonts w:hint="eastAsia" w:ascii="仿宋_GB2312" w:hAnsi="楷体_GB2312" w:eastAsia="仿宋_GB2312" w:cs="楷体_GB2312"/>
          <w:sz w:val="32"/>
          <w:szCs w:val="32"/>
          <w:highlight w:val="none"/>
          <w:lang w:eastAsia="zh-CN"/>
        </w:rPr>
        <w:t>（五）</w:t>
      </w:r>
      <w:r>
        <w:rPr>
          <w:rFonts w:hint="eastAsia" w:ascii="仿宋_GB2312" w:hAnsi="楷体_GB2312" w:eastAsia="仿宋_GB2312" w:cs="楷体_GB2312"/>
          <w:sz w:val="32"/>
          <w:szCs w:val="32"/>
          <w:highlight w:val="none"/>
        </w:rPr>
        <w:t>深圳市市场监督管理局光明监管局要求提交的其他资料或必要说明等</w:t>
      </w:r>
      <w:r>
        <w:rPr>
          <w:rFonts w:hint="eastAsia" w:ascii="仿宋_GB2312" w:hAnsi="楷体_GB2312" w:eastAsia="仿宋_GB2312" w:cs="楷体_GB2312"/>
          <w:sz w:val="32"/>
          <w:szCs w:val="32"/>
          <w:highlight w:val="none"/>
          <w:lang w:eastAsia="zh-CN"/>
        </w:rPr>
        <w:t>。</w:t>
      </w:r>
    </w:p>
    <w:p>
      <w:pPr>
        <w:kinsoku w:val="0"/>
        <w:overflowPunct w:val="0"/>
        <w:autoSpaceDE w:val="0"/>
        <w:autoSpaceDN w:val="0"/>
        <w:spacing w:line="560" w:lineRule="exact"/>
        <w:ind w:firstLine="642"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spacing w:line="560" w:lineRule="exact"/>
        <w:ind w:firstLine="616" w:firstLineChars="200"/>
        <w:rPr>
          <w:rFonts w:hint="eastAsia" w:ascii="仿宋_GB2312" w:hAnsi="仿宋_GB2312" w:eastAsia="仿宋_GB2312" w:cs="仿宋_GB2312"/>
          <w:b w:val="0"/>
          <w:bCs w:val="0"/>
          <w:snapToGrid w:val="0"/>
          <w:color w:val="000000"/>
          <w:kern w:val="0"/>
          <w:sz w:val="32"/>
          <w:szCs w:val="32"/>
          <w:highlight w:val="none"/>
          <w:shd w:val="clear" w:color="auto" w:fill="FFFFFF"/>
          <w:lang w:eastAsia="zh-CN" w:bidi="ar"/>
        </w:rPr>
      </w:pPr>
      <w:r>
        <w:rPr>
          <w:rFonts w:hint="eastAsia" w:eastAsia="仿宋_GB2312"/>
          <w:b w:val="0"/>
          <w:bCs w:val="0"/>
          <w:spacing w:val="-6"/>
          <w:sz w:val="32"/>
          <w:szCs w:val="32"/>
          <w:highlight w:val="none"/>
          <w:lang w:eastAsia="zh-CN"/>
        </w:rPr>
        <w:t>（六）</w:t>
      </w:r>
      <w:r>
        <w:rPr>
          <w:rFonts w:hint="eastAsia" w:eastAsia="仿宋_GB2312"/>
          <w:b w:val="0"/>
          <w:bCs w:val="0"/>
          <w:spacing w:val="-6"/>
          <w:sz w:val="32"/>
          <w:szCs w:val="32"/>
          <w:highlight w:val="none"/>
        </w:rPr>
        <w:t>提交</w:t>
      </w:r>
      <w:r>
        <w:rPr>
          <w:rFonts w:hint="eastAsia" w:eastAsia="仿宋_GB2312"/>
          <w:b w:val="0"/>
          <w:bCs w:val="0"/>
          <w:spacing w:val="-6"/>
          <w:sz w:val="32"/>
          <w:szCs w:val="32"/>
          <w:highlight w:val="none"/>
          <w:lang w:eastAsia="zh-CN"/>
        </w:rPr>
        <w:t>申请深圳市相关项目的申请材料</w:t>
      </w:r>
      <w:r>
        <w:rPr>
          <w:rFonts w:hint="eastAsia" w:ascii="仿宋_GB2312" w:hAnsi="仿宋_GB2312" w:eastAsia="仿宋_GB2312" w:cs="仿宋_GB2312"/>
          <w:b w:val="0"/>
          <w:bCs w:val="0"/>
          <w:snapToGrid w:val="0"/>
          <w:color w:val="000000"/>
          <w:kern w:val="0"/>
          <w:sz w:val="32"/>
          <w:szCs w:val="32"/>
          <w:highlight w:val="none"/>
          <w:shd w:val="clear" w:color="auto" w:fill="FFFFFF"/>
          <w:lang w:eastAsia="zh-CN" w:bidi="ar"/>
        </w:rPr>
        <w:t>及获深圳市资助的资助计划通知等相关证明材料</w:t>
      </w:r>
      <w:r>
        <w:rPr>
          <w:rFonts w:hint="eastAsia" w:ascii="仿宋_GB2312" w:hAnsi="仿宋_GB2312" w:eastAsia="仿宋_GB2312" w:cs="仿宋_GB2312"/>
          <w:b w:val="0"/>
          <w:bCs w:val="0"/>
          <w:snapToGrid w:val="0"/>
          <w:color w:val="000000"/>
          <w:kern w:val="0"/>
          <w:sz w:val="32"/>
          <w:szCs w:val="32"/>
          <w:highlight w:val="none"/>
          <w:shd w:val="clear" w:color="auto" w:fill="FFFFFF"/>
          <w:lang w:bidi="ar"/>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八</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九</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highlight w:val="none"/>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w:t>
      </w:r>
      <w:r>
        <w:rPr>
          <w:rFonts w:hint="default" w:ascii="仿宋_GB2312" w:hAnsi="Calibri" w:eastAsia="仿宋_GB2312" w:cs="Times New Roman"/>
          <w:b/>
          <w:bCs/>
          <w:sz w:val="32"/>
          <w:szCs w:val="32"/>
          <w:highlight w:val="none"/>
          <w:lang w:val="en-US" w:eastAsia="zh-CN"/>
        </w:rPr>
        <w:t>4</w:t>
      </w:r>
      <w:r>
        <w:rPr>
          <w:rFonts w:hint="eastAsia" w:ascii="仿宋_GB2312" w:hAnsi="Calibri" w:eastAsia="仿宋_GB2312" w:cs="Times New Roman"/>
          <w:b/>
          <w:bCs/>
          <w:sz w:val="32"/>
          <w:szCs w:val="32"/>
          <w:highlight w:val="none"/>
          <w:lang w:val="en-US" w:eastAsia="zh-CN"/>
        </w:rPr>
        <w:t>年</w:t>
      </w:r>
      <w:r>
        <w:rPr>
          <w:rFonts w:hint="eastAsia" w:ascii="仿宋_GB2312" w:hAnsi="Calibri" w:eastAsia="仿宋_GB2312"/>
          <w:sz w:val="32"/>
          <w:szCs w:val="32"/>
          <w:highlight w:val="none"/>
        </w:rPr>
        <w:t>。</w:t>
      </w:r>
    </w:p>
    <w:p>
      <w:pPr>
        <w:kinsoku w:val="0"/>
        <w:overflowPunct w:val="0"/>
        <w:autoSpaceDE w:val="0"/>
        <w:autoSpaceDN w:val="0"/>
        <w:spacing w:line="560" w:lineRule="exact"/>
        <w:ind w:firstLine="640" w:firstLineChars="200"/>
        <w:rPr>
          <w:rFonts w:hint="eastAsia" w:ascii="仿宋_GB2312" w:hAnsi="Calibri" w:eastAsia="仿宋_GB2312"/>
          <w:sz w:val="32"/>
          <w:szCs w:val="32"/>
          <w:highlight w:val="none"/>
        </w:rPr>
      </w:pPr>
      <w:r>
        <w:rPr>
          <w:rFonts w:hint="eastAsia" w:ascii="仿宋_GB2312" w:hAnsi="Calibri" w:eastAsia="仿宋_GB2312"/>
          <w:sz w:val="32"/>
          <w:szCs w:val="32"/>
          <w:highlight w:val="none"/>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p>
      <w:pPr>
        <w:kinsoku w:val="0"/>
        <w:overflowPunct w:val="0"/>
        <w:autoSpaceDE w:val="0"/>
        <w:autoSpaceDN w:val="0"/>
        <w:spacing w:line="560" w:lineRule="exact"/>
        <w:ind w:firstLine="640" w:firstLineChars="200"/>
        <w:rPr>
          <w:rFonts w:hint="eastAsia"/>
          <w:highlight w:val="none"/>
        </w:rPr>
      </w:pPr>
      <w:r>
        <w:rPr>
          <w:rFonts w:hint="eastAsia" w:ascii="仿宋_GB2312" w:hAnsi="Calibri" w:eastAsia="仿宋_GB2312" w:cs="Times New Roman"/>
          <w:sz w:val="32"/>
          <w:szCs w:val="32"/>
          <w:highlight w:val="none"/>
          <w:lang w:eastAsia="zh-CN"/>
        </w:rPr>
        <w:t>（</w:t>
      </w:r>
      <w:r>
        <w:rPr>
          <w:rFonts w:hint="eastAsia" w:ascii="仿宋_GB2312" w:hAnsi="Calibri" w:eastAsia="仿宋_GB2312"/>
          <w:sz w:val="32"/>
          <w:szCs w:val="32"/>
          <w:highlight w:val="none"/>
          <w:lang w:eastAsia="zh-CN"/>
        </w:rPr>
        <w:t>三</w:t>
      </w:r>
      <w:r>
        <w:rPr>
          <w:rFonts w:hint="eastAsia" w:ascii="仿宋_GB2312" w:hAnsi="Calibri" w:eastAsia="仿宋_GB2312" w:cs="Times New Roman"/>
          <w:sz w:val="32"/>
          <w:szCs w:val="32"/>
          <w:highlight w:val="none"/>
          <w:lang w:eastAsia="zh-CN"/>
        </w:rPr>
        <w:t>）申报单位对申报材料的合法性、真实性、准确性和完整性负责。对利用不正当手段骗取或协助骗取专项财政资金情形的，我局核实后将按照区政府专项资金有关规定予以处理，并按照有关法律法规的规定追究相应责任。</w:t>
      </w:r>
    </w:p>
    <w:p>
      <w:pPr>
        <w:pStyle w:val="8"/>
        <w:ind w:firstLine="640" w:firstLineChars="200"/>
        <w:jc w:val="both"/>
        <w:rPr>
          <w:rFonts w:hint="eastAsia" w:ascii="仿宋_GB2312" w:hAnsi="Calibri" w:eastAsia="仿宋_GB2312" w:cs="Times New Roman"/>
          <w:b w:val="0"/>
          <w:kern w:val="2"/>
          <w:sz w:val="32"/>
          <w:szCs w:val="32"/>
          <w:highlight w:val="none"/>
          <w:lang w:val="en-US" w:eastAsia="zh-CN" w:bidi="ar-SA"/>
        </w:rPr>
      </w:pPr>
      <w:r>
        <w:rPr>
          <w:rFonts w:hint="eastAsia" w:ascii="仿宋_GB2312" w:hAnsi="Calibri" w:eastAsia="仿宋_GB2312" w:cs="Times New Roman"/>
          <w:b w:val="0"/>
          <w:bCs/>
          <w:kern w:val="2"/>
          <w:sz w:val="32"/>
          <w:szCs w:val="32"/>
          <w:highlight w:val="none"/>
          <w:lang w:val="en-US" w:eastAsia="zh-CN" w:bidi="ar-SA"/>
        </w:rPr>
        <w:t>（四）</w:t>
      </w:r>
      <w:r>
        <w:rPr>
          <w:rFonts w:hint="eastAsia" w:ascii="仿宋_GB2312" w:hAnsi="Calibri" w:eastAsia="仿宋_GB2312" w:cs="Times New Roman"/>
          <w:b w:val="0"/>
          <w:kern w:val="2"/>
          <w:sz w:val="32"/>
          <w:szCs w:val="32"/>
          <w:highlight w:val="none"/>
          <w:lang w:val="en-US" w:eastAsia="zh-CN" w:bidi="ar-SA"/>
        </w:rPr>
        <w:t>资助金额受财政下达年度资金预算总额控制，我局将视申报情况对奖励金额和拨付进度等进行统一调整，申报单位应无条件同意调整结果。</w:t>
      </w:r>
      <w:bookmarkStart w:id="0" w:name="_GoBack"/>
      <w:bookmarkEnd w:id="0"/>
    </w:p>
    <w:p>
      <w:pPr>
        <w:pStyle w:val="2"/>
        <w:rPr>
          <w:rFonts w:hint="default"/>
          <w:highlight w:val="none"/>
          <w:lang w:val="en-US"/>
        </w:rPr>
      </w:pP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OpenSymbol"/>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OpenSymbol"/>
    <w:panose1 w:val="05050102010706020507"/>
    <w:charset w:val="02"/>
    <w:family w:val="roman"/>
    <w:pitch w:val="default"/>
    <w:sig w:usb0="00000000" w:usb1="00000000" w:usb2="00000000" w:usb3="00000000" w:csb0="80000000" w:csb1="00000000"/>
  </w:font>
  <w:font w:name="DejaVu Sans">
    <w:panose1 w:val="020B0606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FangSong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3F6795"/>
    <w:multiLevelType w:val="singleLevel"/>
    <w:tmpl w:val="393F679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681C3C"/>
    <w:rsid w:val="04E21E5F"/>
    <w:rsid w:val="07243DBF"/>
    <w:rsid w:val="0ABF004E"/>
    <w:rsid w:val="0AF84D17"/>
    <w:rsid w:val="0C0F70F9"/>
    <w:rsid w:val="0C513A88"/>
    <w:rsid w:val="0CB832EC"/>
    <w:rsid w:val="0F91560D"/>
    <w:rsid w:val="10354016"/>
    <w:rsid w:val="109024B1"/>
    <w:rsid w:val="11CE1A56"/>
    <w:rsid w:val="124D44D7"/>
    <w:rsid w:val="12530AB8"/>
    <w:rsid w:val="13C17950"/>
    <w:rsid w:val="14FA090F"/>
    <w:rsid w:val="16956BC5"/>
    <w:rsid w:val="1865390F"/>
    <w:rsid w:val="186D30FE"/>
    <w:rsid w:val="187134BE"/>
    <w:rsid w:val="18B14594"/>
    <w:rsid w:val="18C31B6E"/>
    <w:rsid w:val="1BAD1FB6"/>
    <w:rsid w:val="1BC923DA"/>
    <w:rsid w:val="1BE44C1C"/>
    <w:rsid w:val="1C0E2F29"/>
    <w:rsid w:val="1D185152"/>
    <w:rsid w:val="1D7338BD"/>
    <w:rsid w:val="1E1B192D"/>
    <w:rsid w:val="1E366767"/>
    <w:rsid w:val="1E604B3F"/>
    <w:rsid w:val="1F0472EE"/>
    <w:rsid w:val="1FDE6F42"/>
    <w:rsid w:val="21326193"/>
    <w:rsid w:val="227F4009"/>
    <w:rsid w:val="228914BF"/>
    <w:rsid w:val="232C6AF6"/>
    <w:rsid w:val="236F1C12"/>
    <w:rsid w:val="25C150D2"/>
    <w:rsid w:val="2623574F"/>
    <w:rsid w:val="27E2526A"/>
    <w:rsid w:val="292A1B95"/>
    <w:rsid w:val="2A181124"/>
    <w:rsid w:val="2A297180"/>
    <w:rsid w:val="2C0529E2"/>
    <w:rsid w:val="2CF4321F"/>
    <w:rsid w:val="2D7367B0"/>
    <w:rsid w:val="2ED605FF"/>
    <w:rsid w:val="2FB71E20"/>
    <w:rsid w:val="2FFD13F7"/>
    <w:rsid w:val="30551017"/>
    <w:rsid w:val="306C1B7D"/>
    <w:rsid w:val="30A27D54"/>
    <w:rsid w:val="32275720"/>
    <w:rsid w:val="338252AA"/>
    <w:rsid w:val="347D0DB4"/>
    <w:rsid w:val="34E63C9A"/>
    <w:rsid w:val="351F7AFD"/>
    <w:rsid w:val="35415F83"/>
    <w:rsid w:val="365B70E1"/>
    <w:rsid w:val="370229E4"/>
    <w:rsid w:val="375647F4"/>
    <w:rsid w:val="38C74192"/>
    <w:rsid w:val="3AC30F2B"/>
    <w:rsid w:val="3AFB388B"/>
    <w:rsid w:val="3FBFC4BD"/>
    <w:rsid w:val="3FD12086"/>
    <w:rsid w:val="411062EB"/>
    <w:rsid w:val="41B810BD"/>
    <w:rsid w:val="456A0F59"/>
    <w:rsid w:val="45C066F8"/>
    <w:rsid w:val="461E46EC"/>
    <w:rsid w:val="48024430"/>
    <w:rsid w:val="482F3EE8"/>
    <w:rsid w:val="48717430"/>
    <w:rsid w:val="48E4412C"/>
    <w:rsid w:val="49536469"/>
    <w:rsid w:val="49C306E3"/>
    <w:rsid w:val="4C282587"/>
    <w:rsid w:val="4C96021E"/>
    <w:rsid w:val="4CB8347F"/>
    <w:rsid w:val="4CFF0DB6"/>
    <w:rsid w:val="4D0915E6"/>
    <w:rsid w:val="4E125FF9"/>
    <w:rsid w:val="4E630603"/>
    <w:rsid w:val="4EAF50F9"/>
    <w:rsid w:val="4EC32979"/>
    <w:rsid w:val="4EE72FE2"/>
    <w:rsid w:val="4F0D7FC7"/>
    <w:rsid w:val="4FD244A3"/>
    <w:rsid w:val="515A6EDA"/>
    <w:rsid w:val="51F61AAC"/>
    <w:rsid w:val="523B1EEE"/>
    <w:rsid w:val="5479292E"/>
    <w:rsid w:val="55CE0F0C"/>
    <w:rsid w:val="564A30B5"/>
    <w:rsid w:val="565B5006"/>
    <w:rsid w:val="568E6619"/>
    <w:rsid w:val="57487A8C"/>
    <w:rsid w:val="59957B52"/>
    <w:rsid w:val="59A029E0"/>
    <w:rsid w:val="59C06B4D"/>
    <w:rsid w:val="5BB8745F"/>
    <w:rsid w:val="5C142195"/>
    <w:rsid w:val="5C366FAA"/>
    <w:rsid w:val="5D887B53"/>
    <w:rsid w:val="5DFB046F"/>
    <w:rsid w:val="5F840C33"/>
    <w:rsid w:val="609355AC"/>
    <w:rsid w:val="60B5441C"/>
    <w:rsid w:val="62255EA3"/>
    <w:rsid w:val="63610D97"/>
    <w:rsid w:val="670C5799"/>
    <w:rsid w:val="676F0077"/>
    <w:rsid w:val="680A5F81"/>
    <w:rsid w:val="6A197339"/>
    <w:rsid w:val="6A1F58CE"/>
    <w:rsid w:val="6A314603"/>
    <w:rsid w:val="6AE3680B"/>
    <w:rsid w:val="6B37171D"/>
    <w:rsid w:val="6CB70040"/>
    <w:rsid w:val="6DA57B0C"/>
    <w:rsid w:val="6FB013F4"/>
    <w:rsid w:val="702F7BB9"/>
    <w:rsid w:val="707029DF"/>
    <w:rsid w:val="70CC2F58"/>
    <w:rsid w:val="72100309"/>
    <w:rsid w:val="72B833E8"/>
    <w:rsid w:val="73182E18"/>
    <w:rsid w:val="733F1B9F"/>
    <w:rsid w:val="74515870"/>
    <w:rsid w:val="745A2518"/>
    <w:rsid w:val="74DF1F32"/>
    <w:rsid w:val="7685067F"/>
    <w:rsid w:val="76D55E75"/>
    <w:rsid w:val="777161B8"/>
    <w:rsid w:val="77720685"/>
    <w:rsid w:val="791F62B5"/>
    <w:rsid w:val="7991214A"/>
    <w:rsid w:val="79C1030D"/>
    <w:rsid w:val="7A3E2CEF"/>
    <w:rsid w:val="7E634C51"/>
    <w:rsid w:val="7EF17FC3"/>
    <w:rsid w:val="7F565502"/>
    <w:rsid w:val="7F6D6098"/>
    <w:rsid w:val="7F776E24"/>
    <w:rsid w:val="7FF833F1"/>
    <w:rsid w:val="FCEBE30B"/>
    <w:rsid w:val="FFEF76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4457</Words>
  <Characters>4623</Characters>
  <Lines>63</Lines>
  <Paragraphs>17</Paragraphs>
  <TotalTime>2</TotalTime>
  <ScaleCrop>false</ScaleCrop>
  <LinksUpToDate>false</LinksUpToDate>
  <CharactersWithSpaces>4631</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2021-05-25T00:16:00Z</dcterms:created>
  <dc:creator>740095076@qq.com</dc:creator>
  <cp:lastModifiedBy>caiss1</cp:lastModifiedBy>
  <cp:lastPrinted>2022-10-11T17:54:00Z</cp:lastPrinted>
  <dcterms:modified xsi:type="dcterms:W3CDTF">2025-07-21T17:37:41Z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12049CBF003D4C9F8EF8EF56A92DE217</vt:lpwstr>
  </property>
</Properties>
</file>